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rPr>
      </w:pPr>
      <w:r w:rsidDel="00000000" w:rsidR="00000000" w:rsidRPr="00000000">
        <w:rPr>
          <w:rtl w:val="0"/>
        </w:rPr>
      </w:r>
    </w:p>
    <w:p w:rsidR="00000000" w:rsidDel="00000000" w:rsidP="00000000" w:rsidRDefault="00000000" w:rsidRPr="00000000" w14:paraId="00000002">
      <w:pPr>
        <w:jc w:val="center"/>
        <w:rPr>
          <w:b w:val="1"/>
          <w:i w:val="1"/>
          <w:sz w:val="32"/>
          <w:szCs w:val="32"/>
        </w:rPr>
      </w:pPr>
      <w:r w:rsidDel="00000000" w:rsidR="00000000" w:rsidRPr="00000000">
        <w:rPr>
          <w:b w:val="1"/>
          <w:i w:val="1"/>
          <w:sz w:val="32"/>
          <w:szCs w:val="32"/>
          <w:rtl w:val="0"/>
        </w:rPr>
        <w:t xml:space="preserve">How to utilize the California Specific Three-Year Action Plan</w:t>
      </w:r>
    </w:p>
    <w:p w:rsidR="00000000" w:rsidDel="00000000" w:rsidP="00000000" w:rsidRDefault="00000000" w:rsidRPr="00000000" w14:paraId="00000003">
      <w:pPr>
        <w:jc w:val="center"/>
        <w:rPr>
          <w:b w:val="1"/>
          <w:i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Please note that defensible space is required at all times</w:t>
      </w:r>
      <w:r w:rsidDel="00000000" w:rsidR="00000000" w:rsidRPr="00000000">
        <w:rPr>
          <w:b w:val="1"/>
          <w:i w:val="1"/>
          <w:sz w:val="24"/>
          <w:szCs w:val="24"/>
          <w:rtl w:val="0"/>
        </w:rPr>
        <w:t xml:space="preserve"> </w:t>
      </w:r>
      <w:r w:rsidDel="00000000" w:rsidR="00000000" w:rsidRPr="00000000">
        <w:rPr>
          <w:sz w:val="24"/>
          <w:szCs w:val="24"/>
          <w:rtl w:val="0"/>
        </w:rPr>
        <w:t xml:space="preserve">for all buildings or structures within California’s State Responsibility Area under Public Resource Code 4291 and for Local Governments with designated Very High Fire Hazard Severity Zones under Government Code 51182.  Consult your local fire authority for local defensible space requirements if your community is outside of the land classifications above.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Double click in the header area and enter the name of your Firewise Community and enter the three-year span that this action plan will apply to.  </w:t>
      </w:r>
    </w:p>
    <w:p w:rsidR="00000000" w:rsidDel="00000000" w:rsidP="00000000" w:rsidRDefault="00000000" w:rsidRPr="00000000" w14:paraId="000000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description.  Enter a brief description of your community, an example has been provided for you that you can delete.</w:t>
      </w:r>
    </w:p>
    <w:p w:rsidR="00000000" w:rsidDel="00000000" w:rsidP="00000000" w:rsidRDefault="00000000" w:rsidRPr="00000000" w14:paraId="000000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 the year that will apply to the Year 1 efforts.  Repeat this step for years 2 and 3, entering the consecutive years.</w:t>
      </w:r>
    </w:p>
    <w:p w:rsidR="00000000" w:rsidDel="00000000" w:rsidP="00000000" w:rsidRDefault="00000000" w:rsidRPr="00000000" w14:paraId="000000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Utilizing the numbered bullet points enter the tasks that have been identified by your community.  You can add or delete the number of tasks you have identified for your community; however, the Program Topics must be utilized.</w:t>
      </w:r>
    </w:p>
    <w:p w:rsidR="00000000" w:rsidDel="00000000" w:rsidP="00000000" w:rsidRDefault="00000000" w:rsidRPr="00000000" w14:paraId="0000000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document will auto format as information is entered.</w:t>
      </w:r>
    </w:p>
    <w:p w:rsidR="00000000" w:rsidDel="00000000" w:rsidP="00000000" w:rsidRDefault="00000000" w:rsidRPr="00000000" w14:paraId="0000000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the document is completed it can be submitted through the Firewise Portal.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Helpful links for creating a three-year action plan. </w:t>
      </w:r>
    </w:p>
    <w:p w:rsidR="00000000" w:rsidDel="00000000" w:rsidP="00000000" w:rsidRDefault="00000000" w:rsidRPr="00000000" w14:paraId="0000000F">
      <w:pPr>
        <w:rPr>
          <w:sz w:val="24"/>
          <w:szCs w:val="24"/>
        </w:rPr>
      </w:pPr>
      <w:r w:rsidDel="00000000" w:rsidR="00000000" w:rsidRPr="00000000">
        <w:rPr>
          <w:sz w:val="24"/>
          <w:szCs w:val="24"/>
          <w:rtl w:val="0"/>
        </w:rPr>
        <w:t xml:space="preserve">NPFA Firewise USA, Time and Expanse Investment Examples (</w:t>
      </w:r>
      <w:hyperlink r:id="rId7">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10">
      <w:pPr>
        <w:rPr>
          <w:sz w:val="24"/>
          <w:szCs w:val="24"/>
        </w:rPr>
      </w:pPr>
      <w:r w:rsidDel="00000000" w:rsidR="00000000" w:rsidRPr="00000000">
        <w:rPr>
          <w:sz w:val="24"/>
          <w:szCs w:val="24"/>
          <w:rtl w:val="0"/>
        </w:rPr>
        <w:t xml:space="preserve">CAL FIRE Defensible Space (</w:t>
      </w:r>
      <w:hyperlink r:id="rId8">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sz w:val="24"/>
          <w:szCs w:val="24"/>
          <w:rtl w:val="0"/>
        </w:rPr>
        <w:t xml:space="preserve">Ready for Wildfire (</w:t>
      </w:r>
      <w:hyperlink r:id="rId9">
        <w:r w:rsidDel="00000000" w:rsidR="00000000" w:rsidRPr="00000000">
          <w:rPr>
            <w:color w:val="0000ff"/>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38"/>
          <w:szCs w:val="38"/>
          <w:u w:val="single"/>
        </w:rPr>
      </w:pPr>
      <w:r w:rsidDel="00000000" w:rsidR="00000000" w:rsidRPr="00000000">
        <w:rPr>
          <w:b w:val="1"/>
          <w:sz w:val="38"/>
          <w:szCs w:val="38"/>
          <w:u w:val="single"/>
          <w:rtl w:val="0"/>
        </w:rPr>
        <w:t xml:space="preserve">Your site name here</w:t>
      </w:r>
    </w:p>
    <w:p w:rsidR="00000000" w:rsidDel="00000000" w:rsidP="00000000" w:rsidRDefault="00000000" w:rsidRPr="00000000" w14:paraId="0000001E">
      <w:pPr>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 w:lineRule="auto"/>
        <w:ind w:left="109"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
          <w:szCs w:val="4"/>
          <w:u w:val="none"/>
          <w:shd w:fill="auto" w:val="clear"/>
          <w:vertAlign w:val="baseline"/>
        </w:rPr>
        <mc:AlternateContent>
          <mc:Choice Requires="wpg">
            <w:drawing>
              <wp:inline distB="0" distT="0" distL="0" distR="0">
                <wp:extent cx="6924040" cy="27940"/>
                <wp:effectExtent b="0" l="0" r="0" t="0"/>
                <wp:docPr id="19" name=""/>
                <a:graphic>
                  <a:graphicData uri="http://schemas.microsoft.com/office/word/2010/wordprocessingGroup">
                    <wpg:wgp>
                      <wpg:cNvGrpSpPr/>
                      <wpg:grpSpPr>
                        <a:xfrm>
                          <a:off x="1883980" y="3766030"/>
                          <a:ext cx="6924040" cy="27940"/>
                          <a:chOff x="1883980" y="3766030"/>
                          <a:chExt cx="6924040" cy="27940"/>
                        </a:xfrm>
                      </wpg:grpSpPr>
                      <wpg:grpSp>
                        <wpg:cNvGrpSpPr/>
                        <wpg:grpSpPr>
                          <a:xfrm>
                            <a:off x="1883980" y="3766030"/>
                            <a:ext cx="6924040" cy="27940"/>
                            <a:chOff x="1883980" y="3766030"/>
                            <a:chExt cx="6921500" cy="15875"/>
                          </a:xfrm>
                        </wpg:grpSpPr>
                        <wps:wsp>
                          <wps:cNvSpPr/>
                          <wps:cNvPr id="3" name="Shape 3"/>
                          <wps:spPr>
                            <a:xfrm>
                              <a:off x="1883980" y="3766030"/>
                              <a:ext cx="692150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883980" y="3766030"/>
                              <a:ext cx="6921500" cy="15875"/>
                              <a:chOff x="0" y="0"/>
                              <a:chExt cx="10900" cy="25"/>
                            </a:xfrm>
                          </wpg:grpSpPr>
                          <wps:wsp>
                            <wps:cNvSpPr/>
                            <wps:cNvPr id="5" name="Shape 5"/>
                            <wps:spPr>
                              <a:xfrm>
                                <a:off x="0" y="0"/>
                                <a:ext cx="10900"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2" y="22"/>
                                <a:ext cx="10860" cy="0"/>
                              </a:xfrm>
                              <a:prstGeom prst="straightConnector1">
                                <a:avLst/>
                              </a:prstGeom>
                              <a:noFill/>
                              <a:ln cap="flat" cmpd="sng" w="274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924040" cy="27940"/>
                <wp:effectExtent b="0" l="0" r="0" t="0"/>
                <wp:docPr id="1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24040" cy="279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 w:line="259" w:lineRule="auto"/>
        <w:ind w:left="160" w:right="15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 </w:t>
      </w:r>
      <w:r w:rsidDel="00000000" w:rsidR="00000000" w:rsidRPr="00000000">
        <w:rPr>
          <w:b w:val="1"/>
          <w:u w:val="single"/>
          <w:rtl w:val="0"/>
        </w:rPr>
        <w:t xml:space="preserve">Your site name here</w:t>
      </w:r>
      <w:r w:rsidDel="00000000" w:rsidR="00000000" w:rsidRPr="00000000">
        <w:rPr>
          <w:b w:val="1"/>
          <w:rtl w:val="0"/>
        </w:rPr>
        <w:t xml:space="preserve"> </w:t>
      </w:r>
      <w:r w:rsidDel="00000000" w:rsidR="00000000" w:rsidRPr="00000000">
        <w:rPr>
          <w:b w:val="1"/>
          <w:rtl w:val="0"/>
        </w:rPr>
        <w:t xml:space="preserve">(approximately _______ households)</w:t>
      </w:r>
      <w:r w:rsidDel="00000000" w:rsidR="00000000" w:rsidRPr="00000000">
        <w:rPr>
          <w:rtl w:val="0"/>
        </w:rPr>
        <w:t xml:space="preserve"> is located within the wildland urban interface in Marin County.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proposed Firewise USA™ Site Community Wildfire Action Plan </w:t>
      </w:r>
      <w:r w:rsidDel="00000000" w:rsidR="00000000" w:rsidRPr="00000000">
        <w:rPr>
          <w:rtl w:val="0"/>
        </w:rPr>
        <w:t xml:space="preserve">is consistent with the goals and recommendations of Fire Safe Marin and the Marin Wildfire Prevention Authority..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goal of the Plan is to </w:t>
      </w:r>
      <w:r w:rsidDel="00000000" w:rsidR="00000000" w:rsidRPr="00000000">
        <w:rPr>
          <w:rtl w:val="0"/>
        </w:rPr>
        <w:t xml:space="preserve">continue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outreach, educate, and implement efforts to make the neighborhood</w:t>
      </w:r>
      <w:r w:rsidDel="00000000" w:rsidR="00000000" w:rsidRPr="00000000">
        <w:rPr>
          <w:rtl w:val="0"/>
        </w:rPr>
        <w:t xml:space="preserve"> of </w:t>
      </w:r>
      <w:r w:rsidDel="00000000" w:rsidR="00000000" w:rsidRPr="00000000">
        <w:rPr>
          <w:b w:val="1"/>
          <w:u w:val="single"/>
          <w:rtl w:val="0"/>
        </w:rPr>
        <w:t xml:space="preserve">your site name here</w:t>
      </w:r>
      <w:r w:rsidDel="00000000" w:rsidR="00000000" w:rsidRPr="00000000">
        <w:rPr>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fire resilient.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10797.0" w:type="dxa"/>
        <w:jc w:val="left"/>
        <w:tblInd w:w="160.0" w:type="dxa"/>
        <w:tblBorders>
          <w:top w:color="6fac46" w:space="0" w:sz="4" w:val="single"/>
          <w:left w:color="6fac46" w:space="0" w:sz="4" w:val="single"/>
          <w:bottom w:color="6fac46" w:space="0" w:sz="4" w:val="single"/>
          <w:right w:color="6fac46" w:space="0" w:sz="4" w:val="single"/>
          <w:insideH w:color="6fac46" w:space="0" w:sz="4" w:val="single"/>
          <w:insideV w:color="6fac46" w:space="0" w:sz="4" w:val="single"/>
        </w:tblBorders>
        <w:tblLayout w:type="fixed"/>
        <w:tblLook w:val="0000"/>
      </w:tblPr>
      <w:tblGrid>
        <w:gridCol w:w="1076"/>
        <w:gridCol w:w="2279"/>
        <w:gridCol w:w="7442"/>
        <w:tblGridChange w:id="0">
          <w:tblGrid>
            <w:gridCol w:w="1076"/>
            <w:gridCol w:w="2279"/>
            <w:gridCol w:w="7442"/>
          </w:tblGrid>
        </w:tblGridChange>
      </w:tblGrid>
      <w:tr>
        <w:trPr>
          <w:cantSplit w:val="0"/>
          <w:trHeight w:val="278" w:hRule="atLeast"/>
          <w:tblHeader w:val="0"/>
        </w:trPr>
        <w:tc>
          <w:tcPr>
            <w:tcBorders>
              <w:right w:color="000000" w:space="0" w:sz="0" w:val="nil"/>
            </w:tcBorders>
            <w:shd w:fill="669900"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w:t>
            </w:r>
          </w:p>
        </w:tc>
        <w:tc>
          <w:tcPr>
            <w:tcBorders>
              <w:left w:color="000000" w:space="0" w:sz="0" w:val="nil"/>
              <w:right w:color="000000" w:space="0" w:sz="0" w:val="nil"/>
            </w:tcBorders>
            <w:shd w:fill="669900"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w:t>
            </w:r>
          </w:p>
        </w:tc>
        <w:tc>
          <w:tcPr>
            <w:tcBorders>
              <w:left w:color="000000" w:space="0" w:sz="0" w:val="nil"/>
            </w:tcBorders>
            <w:shd w:fill="669900"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69"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Description/Mitigation</w:t>
            </w:r>
          </w:p>
        </w:tc>
      </w:tr>
      <w:tr>
        <w:trPr>
          <w:cantSplit w:val="0"/>
          <w:trHeight w:val="2610" w:hRule="atLeast"/>
          <w:tblHeader w:val="0"/>
        </w:trPr>
        <w:tc>
          <w:tcPr>
            <w:vMerge w:val="restart"/>
            <w:tcBorders>
              <w:right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 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2023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tc>
        <w:tc>
          <w:tcPr>
            <w:tcBorders>
              <w:left w:color="000000" w:space="0" w:sz="0" w:val="nil"/>
              <w:right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&amp; Outreach</w:t>
            </w:r>
          </w:p>
        </w:tc>
        <w:tc>
          <w:tcPr>
            <w:tcBorders>
              <w:left w:color="000000" w:space="0" w:sz="0" w:val="nil"/>
            </w:tcBorders>
          </w:tcPr>
          <w:p w:rsidR="00000000" w:rsidDel="00000000" w:rsidP="00000000" w:rsidRDefault="00000000" w:rsidRPr="00000000" w14:paraId="00000029">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604"/>
              </w:tabs>
              <w:spacing w:after="0" w:before="0" w:line="268"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Expand and update our contact list of neighbors and increase participation at our quarterly meetings</w:t>
            </w:r>
            <w:r w:rsidDel="00000000" w:rsidR="00000000" w:rsidRPr="00000000">
              <w:rPr>
                <w:rtl w:val="0"/>
              </w:rPr>
            </w:r>
          </w:p>
          <w:p w:rsidR="00000000" w:rsidDel="00000000" w:rsidP="00000000" w:rsidRDefault="00000000" w:rsidRPr="00000000" w14:paraId="0000002A">
            <w:pPr>
              <w:widowControl w:val="1"/>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Utilize the on-line training, videos, and other resources provided by Fire Safe Marin to educate our residents about home hardening and fire smart landscaping</w:t>
            </w:r>
          </w:p>
          <w:p w:rsidR="00000000" w:rsidDel="00000000" w:rsidP="00000000" w:rsidRDefault="00000000" w:rsidRPr="00000000" w14:paraId="0000002B">
            <w:pPr>
              <w:widowControl w:val="1"/>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Conduct an annual neighborhood walk to assess wildfire safety progress in our neighborhood</w:t>
            </w:r>
          </w:p>
          <w:p w:rsidR="00000000" w:rsidDel="00000000" w:rsidP="00000000" w:rsidRDefault="00000000" w:rsidRPr="00000000" w14:paraId="0000002C">
            <w:pPr>
              <w:widowControl w:val="1"/>
              <w:numPr>
                <w:ilvl w:val="0"/>
                <w:numId w:val="8"/>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Encourage residents to attend Ember Stomp, Marin’s Annual Wildfire Prevention Festival. </w:t>
            </w:r>
            <w:r w:rsidDel="00000000" w:rsidR="00000000" w:rsidRPr="00000000">
              <w:rPr>
                <w:rtl w:val="0"/>
              </w:rPr>
            </w:r>
          </w:p>
        </w:tc>
      </w:tr>
      <w:tr>
        <w:trPr>
          <w:cantSplit w:val="0"/>
          <w:trHeight w:val="1085" w:hRule="atLeast"/>
          <w:tblHeader w:val="0"/>
        </w:trPr>
        <w:tc>
          <w:tcPr>
            <w:vMerge w:val="continue"/>
            <w:tcBorders>
              <w:right w:color="000000" w:space="0" w:sz="0" w:val="nil"/>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u w:val="none"/>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Hardening</w:t>
            </w:r>
            <w:r w:rsidDel="00000000" w:rsidR="00000000" w:rsidRPr="00000000">
              <w:rPr>
                <w:rtl w:val="0"/>
              </w:rPr>
            </w:r>
          </w:p>
        </w:tc>
        <w:tc>
          <w:tcPr>
            <w:tcBorders>
              <w:left w:color="000000" w:space="0" w:sz="0" w:val="nil"/>
            </w:tcBorders>
          </w:tcPr>
          <w:p w:rsidR="00000000" w:rsidDel="00000000" w:rsidP="00000000" w:rsidRDefault="00000000" w:rsidRPr="00000000" w14:paraId="0000002F">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06"/>
              </w:tabs>
              <w:spacing w:after="0" w:before="0" w:line="240" w:lineRule="auto"/>
              <w:ind w:left="720" w:right="306" w:hanging="360"/>
              <w:jc w:val="left"/>
              <w:rPr>
                <w:rFonts w:ascii="Arial" w:cs="Arial" w:eastAsia="Arial" w:hAnsi="Arial"/>
              </w:rPr>
            </w:pPr>
            <w:r w:rsidDel="00000000" w:rsidR="00000000" w:rsidRPr="00000000">
              <w:rPr>
                <w:rFonts w:ascii="Arial" w:cs="Arial" w:eastAsia="Arial" w:hAnsi="Arial"/>
                <w:rtl w:val="0"/>
              </w:rPr>
              <w:t xml:space="preserve">Taking a home out approach, work with residents to reduce wildfire hazards found in Zone 0, the first 5 ft. around the house.</w:t>
            </w:r>
          </w:p>
          <w:p w:rsidR="00000000" w:rsidDel="00000000" w:rsidP="00000000" w:rsidRDefault="00000000" w:rsidRPr="00000000" w14:paraId="00000030">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606"/>
              </w:tabs>
              <w:spacing w:after="0" w:before="0" w:line="240" w:lineRule="auto"/>
              <w:ind w:left="720" w:right="306"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Promote use of grants from the Marin Wildfire </w:t>
            </w:r>
            <w:r w:rsidDel="00000000" w:rsidR="00000000" w:rsidRPr="00000000">
              <w:rPr>
                <w:rFonts w:ascii="Arial" w:cs="Arial" w:eastAsia="Arial" w:hAnsi="Arial"/>
                <w:rtl w:val="0"/>
              </w:rPr>
              <w:t xml:space="preserve">Authority and other Marin agencies to fund home hardening projects.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606"/>
              </w:tabs>
              <w:spacing w:after="0" w:before="1" w:line="240" w:lineRule="auto"/>
              <w:ind w:left="720" w:right="450" w:firstLine="0"/>
              <w:jc w:val="left"/>
              <w:rPr>
                <w:rFonts w:ascii="Arial" w:cs="Arial" w:eastAsia="Arial" w:hAnsi="Arial"/>
              </w:rPr>
            </w:pPr>
            <w:r w:rsidDel="00000000" w:rsidR="00000000" w:rsidRPr="00000000">
              <w:rPr>
                <w:rtl w:val="0"/>
              </w:rPr>
            </w:r>
          </w:p>
        </w:tc>
      </w:tr>
      <w:tr>
        <w:trPr>
          <w:cantSplit w:val="0"/>
          <w:trHeight w:val="1085" w:hRule="atLeast"/>
          <w:tblHeader w:val="0"/>
        </w:trPr>
        <w:tc>
          <w:tcPr>
            <w:vMerge w:val="continue"/>
            <w:tcBorders>
              <w:right w:color="000000" w:space="0" w:sz="0" w:val="nil"/>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Fuel Reduction</w:t>
            </w:r>
          </w:p>
        </w:tc>
        <w:tc>
          <w:tcPr>
            <w:tcBorders>
              <w:left w:color="000000" w:space="0" w:sz="0" w:val="nil"/>
            </w:tcBorders>
          </w:tcPr>
          <w:p w:rsidR="00000000" w:rsidDel="00000000" w:rsidP="00000000" w:rsidRDefault="00000000" w:rsidRPr="00000000" w14:paraId="00000034">
            <w:pPr>
              <w:widowControl w:val="1"/>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Promote the Marin Wildfire Prevention Authority  bi-annual curbside chipper pickup in our neighborhood to reduce flammable vegetation</w:t>
            </w:r>
          </w:p>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606"/>
              </w:tabs>
              <w:spacing w:after="0" w:before="0" w:line="240" w:lineRule="auto"/>
              <w:ind w:left="720" w:right="162" w:hanging="360"/>
              <w:jc w:val="left"/>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Promote use of green</w:t>
            </w:r>
            <w:r w:rsidDel="00000000" w:rsidR="00000000" w:rsidRPr="00000000">
              <w:rPr>
                <w:rFonts w:ascii="Arial" w:cs="Arial" w:eastAsia="Arial" w:hAnsi="Arial"/>
                <w:rtl w:val="0"/>
              </w:rPr>
              <w:t xml:space="preserve"> bins to remove accumulated fuels through regular maintenance</w:t>
            </w:r>
          </w:p>
          <w:p w:rsidR="00000000" w:rsidDel="00000000" w:rsidP="00000000" w:rsidRDefault="00000000" w:rsidRPr="00000000" w14:paraId="00000036">
            <w:pPr>
              <w:numPr>
                <w:ilvl w:val="0"/>
                <w:numId w:val="6"/>
              </w:numPr>
              <w:tabs>
                <w:tab w:val="left" w:pos="606"/>
              </w:tabs>
              <w:ind w:left="720" w:right="306" w:hanging="360"/>
              <w:rPr>
                <w:rFonts w:ascii="Arial" w:cs="Arial" w:eastAsia="Arial" w:hAnsi="Arial"/>
              </w:rPr>
            </w:pPr>
            <w:r w:rsidDel="00000000" w:rsidR="00000000" w:rsidRPr="00000000">
              <w:rPr>
                <w:rFonts w:ascii="Arial" w:cs="Arial" w:eastAsia="Arial" w:hAnsi="Arial"/>
                <w:rtl w:val="0"/>
              </w:rPr>
              <w:t xml:space="preserve">Promote use of grants from the Marin Wildfire Authority and other Marin agencies to fund vegetation removal projects.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606"/>
              </w:tabs>
              <w:spacing w:after="0" w:before="1" w:line="240" w:lineRule="auto"/>
              <w:ind w:left="720" w:right="162" w:firstLine="0"/>
              <w:jc w:val="left"/>
              <w:rPr>
                <w:rFonts w:ascii="Arial" w:cs="Arial" w:eastAsia="Arial" w:hAnsi="Arial"/>
              </w:rPr>
            </w:pPr>
            <w:r w:rsidDel="00000000" w:rsidR="00000000" w:rsidRPr="00000000">
              <w:rPr>
                <w:rtl w:val="0"/>
              </w:rPr>
            </w:r>
          </w:p>
        </w:tc>
      </w:tr>
      <w:tr>
        <w:trPr>
          <w:cantSplit w:val="0"/>
          <w:trHeight w:val="816" w:hRule="atLeast"/>
          <w:tblHeader w:val="0"/>
        </w:trPr>
        <w:tc>
          <w:tcPr>
            <w:vMerge w:val="continue"/>
            <w:tcBorders>
              <w:right w:color="000000" w:space="0" w:sz="0" w:val="nil"/>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4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Evacuation Planning &amp; Wildfire Preparedness</w:t>
            </w:r>
          </w:p>
        </w:tc>
        <w:tc>
          <w:tcPr>
            <w:tcBorders>
              <w:left w:color="000000" w:space="0" w:sz="0" w:val="nil"/>
            </w:tcBorders>
          </w:tcPr>
          <w:p w:rsidR="00000000" w:rsidDel="00000000" w:rsidP="00000000" w:rsidRDefault="00000000" w:rsidRPr="00000000" w14:paraId="0000003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Arial" w:cs="Arial" w:eastAsia="Arial" w:hAnsi="Arial"/>
                <w:rtl w:val="0"/>
              </w:rPr>
              <w:t xml:space="preserve">Hold an evacuation drill based on one of the scaled approaches provided by Fire Safe Marin.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3C">
      <w:pPr>
        <w:rPr/>
        <w:sectPr>
          <w:headerReference r:id="rId11" w:type="default"/>
          <w:headerReference r:id="rId12" w:type="first"/>
          <w:footerReference r:id="rId13" w:type="default"/>
          <w:pgSz w:h="15840" w:w="12240" w:orient="portrait"/>
          <w:pgMar w:bottom="920" w:top="3680" w:left="560" w:right="560" w:header="1243" w:footer="720"/>
          <w:pgNumType w:start="1"/>
          <w:titlePg w:val="1"/>
        </w:sect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b w:val="1"/>
          <w:sz w:val="38"/>
          <w:szCs w:val="38"/>
          <w:rtl w:val="0"/>
        </w:rPr>
        <w:t xml:space="preserve">Your site name here ____</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2"/>
        <w:tblW w:w="10798.000000000002" w:type="dxa"/>
        <w:jc w:val="left"/>
        <w:tblInd w:w="0.0" w:type="pct"/>
        <w:tblBorders>
          <w:top w:color="000000" w:space="0" w:sz="21" w:val="single"/>
          <w:left w:color="000000" w:space="0" w:sz="21" w:val="single"/>
          <w:bottom w:color="000000" w:space="0" w:sz="21" w:val="single"/>
          <w:right w:color="000000" w:space="0" w:sz="21" w:val="single"/>
          <w:insideH w:color="000000" w:space="0" w:sz="21" w:val="single"/>
          <w:insideV w:color="000000" w:space="0" w:sz="21" w:val="single"/>
        </w:tblBorders>
        <w:tblLayout w:type="fixed"/>
        <w:tblLook w:val="0000"/>
      </w:tblPr>
      <w:tblGrid>
        <w:gridCol w:w="1076"/>
        <w:gridCol w:w="2280"/>
        <w:gridCol w:w="7442"/>
        <w:tblGridChange w:id="0">
          <w:tblGrid>
            <w:gridCol w:w="1076"/>
            <w:gridCol w:w="2280"/>
            <w:gridCol w:w="7442"/>
          </w:tblGrid>
        </w:tblGridChange>
      </w:tblGrid>
      <w:tr>
        <w:trPr>
          <w:cantSplit w:val="0"/>
          <w:trHeight w:val="300" w:hRule="atLeast"/>
          <w:tblHeader w:val="0"/>
        </w:trPr>
        <w:tc>
          <w:tcPr>
            <w:tcBorders>
              <w:top w:color="000000" w:space="0" w:sz="4" w:val="single"/>
              <w:left w:color="6fac46" w:space="0" w:sz="4" w:val="single"/>
              <w:bottom w:color="6fac46" w:space="0" w:sz="4" w:val="single"/>
              <w:right w:color="000000" w:space="0" w:sz="4" w:val="single"/>
            </w:tcBorders>
            <w:shd w:fill="669900"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w:t>
            </w:r>
          </w:p>
        </w:tc>
        <w:tc>
          <w:tcPr>
            <w:tcBorders>
              <w:top w:color="000000" w:space="0" w:sz="4" w:val="single"/>
              <w:left w:color="000000" w:space="0" w:sz="4" w:val="single"/>
              <w:bottom w:color="6fac46" w:space="0" w:sz="4" w:val="single"/>
              <w:right w:color="000000" w:space="0" w:sz="4" w:val="single"/>
            </w:tcBorders>
            <w:shd w:fill="669900"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w:t>
            </w:r>
          </w:p>
        </w:tc>
        <w:tc>
          <w:tcPr>
            <w:tcBorders>
              <w:top w:color="000000" w:space="0" w:sz="4" w:val="single"/>
              <w:left w:color="000000" w:space="0" w:sz="4" w:val="single"/>
              <w:bottom w:color="6fac46" w:space="0" w:sz="4" w:val="single"/>
              <w:right w:color="6fac46" w:space="0" w:sz="4" w:val="single"/>
            </w:tcBorders>
            <w:shd w:fill="669900"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6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Description/Mitigation</w:t>
            </w:r>
          </w:p>
        </w:tc>
      </w:tr>
      <w:tr>
        <w:trPr>
          <w:cantSplit w:val="0"/>
          <w:trHeight w:val="2865" w:hRule="atLeast"/>
          <w:tblHeader w:val="0"/>
        </w:trPr>
        <w:tc>
          <w:tcPr>
            <w:vMerge w:val="restart"/>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 2</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2024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&amp; Outreach</w:t>
            </w:r>
          </w:p>
        </w:tc>
        <w:tc>
          <w:tcPr>
            <w:tcBorders>
              <w:top w:color="6fac46" w:space="0" w:sz="4" w:val="single"/>
              <w:left w:color="000000" w:space="0" w:sz="4" w:val="single"/>
              <w:bottom w:color="6fac46" w:space="0" w:sz="4" w:val="single"/>
              <w:right w:color="6fac46" w:space="0" w:sz="4" w:val="single"/>
            </w:tcBorders>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603"/>
              </w:tabs>
              <w:spacing w:after="0" w:before="0" w:line="268"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603"/>
              </w:tabs>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Continue to Expand and update our contact list of neighbors and increase participation at our quarterly meetings</w:t>
            </w:r>
          </w:p>
          <w:p w:rsidR="00000000" w:rsidDel="00000000" w:rsidP="00000000" w:rsidRDefault="00000000" w:rsidRPr="00000000" w14:paraId="0000004A">
            <w:pPr>
              <w:widowControl w:val="1"/>
              <w:numPr>
                <w:ilvl w:val="0"/>
                <w:numId w:val="9"/>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Continue to Utilize the on-line training, videos, and other resources provided by Fire Safe Marin to educate our residents about home hardening and fire smart landscaping</w:t>
            </w:r>
          </w:p>
          <w:p w:rsidR="00000000" w:rsidDel="00000000" w:rsidP="00000000" w:rsidRDefault="00000000" w:rsidRPr="00000000" w14:paraId="0000004B">
            <w:pPr>
              <w:widowControl w:val="1"/>
              <w:numPr>
                <w:ilvl w:val="0"/>
                <w:numId w:val="9"/>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Continue to Conduct an annual neighborhood walk to assess wildfire safety progress in our neighborhood</w:t>
            </w:r>
          </w:p>
          <w:p w:rsidR="00000000" w:rsidDel="00000000" w:rsidP="00000000" w:rsidRDefault="00000000" w:rsidRPr="00000000" w14:paraId="0000004C">
            <w:pPr>
              <w:widowControl w:val="1"/>
              <w:numPr>
                <w:ilvl w:val="0"/>
                <w:numId w:val="9"/>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Encourage residents to attend Ember Stomp, Marin’s Annual Wildfire Prevention Festival.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603"/>
              </w:tabs>
              <w:spacing w:after="0" w:before="0" w:line="240" w:lineRule="auto"/>
              <w:ind w:left="603" w:right="867" w:hanging="36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24" w:hRule="atLeast"/>
          <w:tblHeader w:val="0"/>
        </w:trPr>
        <w:tc>
          <w:tcPr>
            <w:vMerge w:val="continue"/>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Hardening</w:t>
            </w:r>
          </w:p>
        </w:tc>
        <w:tc>
          <w:tcPr>
            <w:tcBorders>
              <w:top w:color="6fac46"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numPr>
                <w:ilvl w:val="0"/>
                <w:numId w:val="1"/>
              </w:numPr>
              <w:tabs>
                <w:tab w:val="left" w:pos="606"/>
              </w:tabs>
              <w:ind w:left="720" w:right="306" w:hanging="360"/>
              <w:rPr>
                <w:rFonts w:ascii="Arial" w:cs="Arial" w:eastAsia="Arial" w:hAnsi="Arial"/>
              </w:rPr>
            </w:pPr>
            <w:r w:rsidDel="00000000" w:rsidR="00000000" w:rsidRPr="00000000">
              <w:rPr>
                <w:rFonts w:ascii="Arial" w:cs="Arial" w:eastAsia="Arial" w:hAnsi="Arial"/>
                <w:rtl w:val="0"/>
              </w:rPr>
              <w:t xml:space="preserve">Continue to Take a home out approach, work with residents to reduce wildfire hazards found in Zone 0, the first 5 ft. around the house.</w:t>
            </w:r>
          </w:p>
          <w:p w:rsidR="00000000" w:rsidDel="00000000" w:rsidP="00000000" w:rsidRDefault="00000000" w:rsidRPr="00000000" w14:paraId="00000051">
            <w:pPr>
              <w:numPr>
                <w:ilvl w:val="0"/>
                <w:numId w:val="1"/>
              </w:numPr>
              <w:tabs>
                <w:tab w:val="left" w:pos="606"/>
              </w:tabs>
              <w:ind w:left="720" w:right="306" w:hanging="360"/>
              <w:rPr>
                <w:u w:val="none"/>
              </w:rPr>
            </w:pPr>
            <w:r w:rsidDel="00000000" w:rsidR="00000000" w:rsidRPr="00000000">
              <w:rPr>
                <w:rFonts w:ascii="Arial" w:cs="Arial" w:eastAsia="Arial" w:hAnsi="Arial"/>
                <w:rtl w:val="0"/>
              </w:rPr>
              <w:t xml:space="preserve">Continue to Promote use of grants from the Marin Wildfire Authority and other Marin agencies to fund home hardening projects.</w:t>
            </w:r>
            <w:r w:rsidDel="00000000" w:rsidR="00000000" w:rsidRPr="00000000">
              <w:rPr>
                <w:rtl w:val="0"/>
              </w:rPr>
            </w:r>
          </w:p>
          <w:p w:rsidR="00000000" w:rsidDel="00000000" w:rsidP="00000000" w:rsidRDefault="00000000" w:rsidRPr="00000000" w14:paraId="00000052">
            <w:pPr>
              <w:tabs>
                <w:tab w:val="left" w:pos="606"/>
              </w:tabs>
              <w:spacing w:before="1" w:lineRule="auto"/>
              <w:ind w:left="1440" w:right="450" w:firstLine="0"/>
              <w:rPr>
                <w:rFonts w:ascii="Arial" w:cs="Arial" w:eastAsia="Arial" w:hAnsi="Arial"/>
              </w:rPr>
            </w:pPr>
            <w:r w:rsidDel="00000000" w:rsidR="00000000" w:rsidRPr="00000000">
              <w:rPr>
                <w:rtl w:val="0"/>
              </w:rPr>
            </w:r>
          </w:p>
        </w:tc>
      </w:tr>
      <w:tr>
        <w:trPr>
          <w:cantSplit w:val="0"/>
          <w:trHeight w:val="1177" w:hRule="atLeast"/>
          <w:tblHeader w:val="0"/>
        </w:trPr>
        <w:tc>
          <w:tcPr>
            <w:vMerge w:val="continue"/>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Fuel Reduction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1"/>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Continue to Promote the Marin Wildfire Prevention Authority  bi-annual curbside chipper pickup in our neighborhood to reduce flammable vegetation</w:t>
            </w:r>
          </w:p>
          <w:p w:rsidR="00000000" w:rsidDel="00000000" w:rsidP="00000000" w:rsidRDefault="00000000" w:rsidRPr="00000000" w14:paraId="00000056">
            <w:pPr>
              <w:numPr>
                <w:ilvl w:val="0"/>
                <w:numId w:val="3"/>
              </w:numPr>
              <w:tabs>
                <w:tab w:val="left" w:pos="606"/>
              </w:tabs>
              <w:spacing w:before="0" w:lineRule="auto"/>
              <w:ind w:left="720" w:right="162" w:hanging="360"/>
              <w:rPr>
                <w:u w:val="none"/>
              </w:rPr>
            </w:pPr>
            <w:r w:rsidDel="00000000" w:rsidR="00000000" w:rsidRPr="00000000">
              <w:rPr>
                <w:rFonts w:ascii="Arial" w:cs="Arial" w:eastAsia="Arial" w:hAnsi="Arial"/>
                <w:rtl w:val="0"/>
              </w:rPr>
              <w:t xml:space="preserve">Continue to Promote use of green bins to remove accumulated fuels through regular maintenance</w:t>
            </w:r>
            <w:r w:rsidDel="00000000" w:rsidR="00000000" w:rsidRPr="00000000">
              <w:rPr>
                <w:rtl w:val="0"/>
              </w:rPr>
            </w:r>
          </w:p>
          <w:p w:rsidR="00000000" w:rsidDel="00000000" w:rsidP="00000000" w:rsidRDefault="00000000" w:rsidRPr="00000000" w14:paraId="00000057">
            <w:pPr>
              <w:numPr>
                <w:ilvl w:val="0"/>
                <w:numId w:val="3"/>
              </w:numPr>
              <w:tabs>
                <w:tab w:val="left" w:pos="606"/>
              </w:tabs>
              <w:ind w:left="720" w:right="306" w:hanging="360"/>
              <w:rPr>
                <w:rFonts w:ascii="Arial" w:cs="Arial" w:eastAsia="Arial" w:hAnsi="Arial"/>
              </w:rPr>
            </w:pPr>
            <w:r w:rsidDel="00000000" w:rsidR="00000000" w:rsidRPr="00000000">
              <w:rPr>
                <w:rFonts w:ascii="Arial" w:cs="Arial" w:eastAsia="Arial" w:hAnsi="Arial"/>
                <w:rtl w:val="0"/>
              </w:rPr>
              <w:t xml:space="preserve">Continue to Promote use of grants from the Marin Wildfire Authority and other Marin agencies to fund vegetation removal projects</w:t>
            </w:r>
          </w:p>
          <w:p w:rsidR="00000000" w:rsidDel="00000000" w:rsidP="00000000" w:rsidRDefault="00000000" w:rsidRPr="00000000" w14:paraId="00000058">
            <w:pPr>
              <w:tabs>
                <w:tab w:val="left" w:pos="606"/>
              </w:tabs>
              <w:spacing w:before="1" w:lineRule="auto"/>
              <w:ind w:left="720" w:right="162" w:firstLine="0"/>
              <w:rPr>
                <w:rFonts w:ascii="Arial" w:cs="Arial" w:eastAsia="Arial" w:hAnsi="Arial"/>
              </w:rPr>
            </w:pPr>
            <w:r w:rsidDel="00000000" w:rsidR="00000000" w:rsidRPr="00000000">
              <w:rPr>
                <w:rtl w:val="0"/>
              </w:rPr>
            </w:r>
          </w:p>
        </w:tc>
      </w:tr>
      <w:tr>
        <w:trPr>
          <w:cantSplit w:val="0"/>
          <w:trHeight w:val="1162" w:hRule="atLeast"/>
          <w:tblHeader w:val="0"/>
        </w:trPr>
        <w:tc>
          <w:tcPr>
            <w:vMerge w:val="continue"/>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Evacuation Planning &amp; Wildfire Preparedness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numPr>
                <w:ilvl w:val="0"/>
                <w:numId w:val="7"/>
              </w:numPr>
              <w:ind w:left="720" w:hanging="360"/>
              <w:rPr>
                <w:u w:val="none"/>
              </w:rPr>
            </w:pPr>
            <w:r w:rsidDel="00000000" w:rsidR="00000000" w:rsidRPr="00000000">
              <w:rPr>
                <w:rFonts w:ascii="Arial" w:cs="Arial" w:eastAsia="Arial" w:hAnsi="Arial"/>
                <w:rtl w:val="0"/>
              </w:rPr>
              <w:t xml:space="preserve">Continue to Hold an evacuation drill based on one of the scaled approaches provided by Fire Safe Marin.</w:t>
            </w:r>
            <w:r w:rsidDel="00000000" w:rsidR="00000000" w:rsidRPr="00000000">
              <w:rPr>
                <w:rtl w:val="0"/>
              </w:rPr>
            </w:r>
          </w:p>
          <w:p w:rsidR="00000000" w:rsidDel="00000000" w:rsidP="00000000" w:rsidRDefault="00000000" w:rsidRPr="00000000" w14:paraId="0000005C">
            <w:pPr>
              <w:tabs>
                <w:tab w:val="left" w:pos="603"/>
              </w:tabs>
              <w:spacing w:before="1" w:lineRule="auto"/>
              <w:ind w:left="144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17"/>
          <w:szCs w:val="17"/>
        </w:rPr>
      </w:pPr>
      <w:r w:rsidDel="00000000" w:rsidR="00000000" w:rsidRPr="00000000">
        <w:rPr>
          <w:b w:val="1"/>
          <w:sz w:val="38"/>
          <w:szCs w:val="38"/>
          <w:rtl w:val="0"/>
        </w:rPr>
        <w:t xml:space="preserve">Your site name here ____</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17"/>
          <w:szCs w:val="17"/>
        </w:rPr>
      </w:pPr>
      <w:r w:rsidDel="00000000" w:rsidR="00000000" w:rsidRPr="00000000">
        <w:rPr>
          <w:rtl w:val="0"/>
        </w:rPr>
      </w:r>
    </w:p>
    <w:tbl>
      <w:tblPr>
        <w:tblStyle w:val="Table3"/>
        <w:tblW w:w="10798.000000000002" w:type="dxa"/>
        <w:jc w:val="left"/>
        <w:tblInd w:w="0.0" w:type="pct"/>
        <w:tblBorders>
          <w:top w:color="000000" w:space="0" w:sz="21" w:val="single"/>
          <w:left w:color="000000" w:space="0" w:sz="21" w:val="single"/>
          <w:bottom w:color="000000" w:space="0" w:sz="21" w:val="single"/>
          <w:right w:color="000000" w:space="0" w:sz="21" w:val="single"/>
          <w:insideH w:color="000000" w:space="0" w:sz="21" w:val="single"/>
          <w:insideV w:color="000000" w:space="0" w:sz="21" w:val="single"/>
        </w:tblBorders>
        <w:tblLayout w:type="fixed"/>
        <w:tblLook w:val="0000"/>
      </w:tblPr>
      <w:tblGrid>
        <w:gridCol w:w="1076"/>
        <w:gridCol w:w="2280"/>
        <w:gridCol w:w="7442"/>
        <w:tblGridChange w:id="0">
          <w:tblGrid>
            <w:gridCol w:w="1076"/>
            <w:gridCol w:w="2280"/>
            <w:gridCol w:w="7442"/>
          </w:tblGrid>
        </w:tblGridChange>
      </w:tblGrid>
      <w:tr>
        <w:trPr>
          <w:cantSplit w:val="0"/>
          <w:trHeight w:val="300" w:hRule="atLeast"/>
          <w:tblHeader w:val="0"/>
        </w:trPr>
        <w:tc>
          <w:tcPr>
            <w:tcBorders>
              <w:top w:color="000000" w:space="0" w:sz="4" w:val="single"/>
              <w:left w:color="6fac46" w:space="0" w:sz="4" w:val="single"/>
              <w:bottom w:color="6fac46" w:space="0" w:sz="4" w:val="single"/>
              <w:right w:color="000000" w:space="0" w:sz="4" w:val="single"/>
            </w:tcBorders>
            <w:shd w:fill="669900"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w:t>
            </w:r>
          </w:p>
        </w:tc>
        <w:tc>
          <w:tcPr>
            <w:tcBorders>
              <w:top w:color="000000" w:space="0" w:sz="4" w:val="single"/>
              <w:left w:color="000000" w:space="0" w:sz="4" w:val="single"/>
              <w:bottom w:color="6fac46" w:space="0" w:sz="4" w:val="single"/>
              <w:right w:color="000000" w:space="0" w:sz="4" w:val="single"/>
            </w:tcBorders>
            <w:shd w:fill="669900"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w:t>
            </w:r>
          </w:p>
        </w:tc>
        <w:tc>
          <w:tcPr>
            <w:tcBorders>
              <w:top w:color="000000" w:space="0" w:sz="4" w:val="single"/>
              <w:left w:color="000000" w:space="0" w:sz="4" w:val="single"/>
              <w:bottom w:color="6fac46" w:space="0" w:sz="4" w:val="single"/>
              <w:right w:color="6fac46" w:space="0" w:sz="4" w:val="single"/>
            </w:tcBorders>
            <w:shd w:fill="669900"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68"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Description/Mitigation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68" w:right="0" w:firstLine="0"/>
              <w:jc w:val="left"/>
              <w:rPr>
                <w:b w:val="1"/>
              </w:rPr>
            </w:pPr>
            <w:r w:rsidDel="00000000" w:rsidR="00000000" w:rsidRPr="00000000">
              <w:rPr>
                <w:rtl w:val="0"/>
              </w:rPr>
            </w:r>
          </w:p>
        </w:tc>
      </w:tr>
      <w:tr>
        <w:trPr>
          <w:cantSplit w:val="0"/>
          <w:trHeight w:val="2655" w:hRule="atLeast"/>
          <w:tblHeader w:val="0"/>
        </w:trPr>
        <w:tc>
          <w:tcPr>
            <w:vMerge w:val="restart"/>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Year 3</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2025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&amp; Outreach</w:t>
            </w:r>
          </w:p>
        </w:tc>
        <w:tc>
          <w:tcPr>
            <w:tcBorders>
              <w:top w:color="6fac46" w:space="0" w:sz="4" w:val="single"/>
              <w:left w:color="000000" w:space="0" w:sz="4" w:val="single"/>
              <w:bottom w:color="6fac46" w:space="0" w:sz="4" w:val="single"/>
              <w:right w:color="6fac46" w:space="0" w:sz="4" w:val="single"/>
            </w:tcBorders>
          </w:tcPr>
          <w:p w:rsidR="00000000" w:rsidDel="00000000" w:rsidP="00000000" w:rsidRDefault="00000000" w:rsidRPr="00000000" w14:paraId="00000069">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603"/>
              </w:tabs>
              <w:spacing w:after="0" w:before="0" w:line="268"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Continue to Expand and update our contact list of neighbors and increase participation at our quarterly meetings</w:t>
            </w:r>
            <w:r w:rsidDel="00000000" w:rsidR="00000000" w:rsidRPr="00000000">
              <w:rPr>
                <w:rtl w:val="0"/>
              </w:rPr>
            </w:r>
          </w:p>
          <w:p w:rsidR="00000000" w:rsidDel="00000000" w:rsidP="00000000" w:rsidRDefault="00000000" w:rsidRPr="00000000" w14:paraId="0000006A">
            <w:pPr>
              <w:widowControl w:val="1"/>
              <w:numPr>
                <w:ilvl w:val="0"/>
                <w:numId w:val="1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Continue to Utilize the on-line training, videos, and other resources provided by Fire Safe Marin to educate our residents about home hardening and fire smart landscaping</w:t>
            </w:r>
            <w:r w:rsidDel="00000000" w:rsidR="00000000" w:rsidRPr="00000000">
              <w:rPr>
                <w:rtl w:val="0"/>
              </w:rPr>
            </w:r>
          </w:p>
          <w:p w:rsidR="00000000" w:rsidDel="00000000" w:rsidP="00000000" w:rsidRDefault="00000000" w:rsidRPr="00000000" w14:paraId="0000006B">
            <w:pPr>
              <w:widowControl w:val="1"/>
              <w:numPr>
                <w:ilvl w:val="0"/>
                <w:numId w:val="11"/>
              </w:numPr>
              <w:spacing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Continue to Conduct an annual neighborhood walk to assess wildfire safety progress in our neighborhood</w:t>
            </w:r>
            <w:r w:rsidDel="00000000" w:rsidR="00000000" w:rsidRPr="00000000">
              <w:rPr>
                <w:rtl w:val="0"/>
              </w:rPr>
            </w:r>
          </w:p>
          <w:p w:rsidR="00000000" w:rsidDel="00000000" w:rsidP="00000000" w:rsidRDefault="00000000" w:rsidRPr="00000000" w14:paraId="0000006C">
            <w:pPr>
              <w:widowControl w:val="1"/>
              <w:numPr>
                <w:ilvl w:val="0"/>
                <w:numId w:val="11"/>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Encourage residents to attend Ember Stomp, Marin’s Annual Wildfire Prevention Festival.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603"/>
              </w:tabs>
              <w:spacing w:after="0" w:before="0" w:line="240" w:lineRule="auto"/>
              <w:ind w:left="144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24" w:hRule="atLeast"/>
          <w:tblHeader w:val="0"/>
        </w:trPr>
        <w:tc>
          <w:tcPr>
            <w:vMerge w:val="continue"/>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Hardening</w:t>
            </w:r>
          </w:p>
        </w:tc>
        <w:tc>
          <w:tcPr>
            <w:tcBorders>
              <w:top w:color="6fac46"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numPr>
                <w:ilvl w:val="0"/>
                <w:numId w:val="2"/>
              </w:numPr>
              <w:tabs>
                <w:tab w:val="left" w:pos="606"/>
              </w:tabs>
              <w:ind w:left="720" w:right="306" w:hanging="360"/>
              <w:rPr>
                <w:rFonts w:ascii="Arial" w:cs="Arial" w:eastAsia="Arial" w:hAnsi="Arial"/>
                <w:u w:val="none"/>
              </w:rPr>
            </w:pPr>
            <w:r w:rsidDel="00000000" w:rsidR="00000000" w:rsidRPr="00000000">
              <w:rPr>
                <w:rFonts w:ascii="Arial" w:cs="Arial" w:eastAsia="Arial" w:hAnsi="Arial"/>
                <w:rtl w:val="0"/>
              </w:rPr>
              <w:t xml:space="preserve">Continue to Take a home out approach, work with residents to reduce wildfire hazards found in Zone 0, the first 5 ft. around the house.</w:t>
            </w:r>
            <w:r w:rsidDel="00000000" w:rsidR="00000000" w:rsidRPr="00000000">
              <w:rPr>
                <w:rtl w:val="0"/>
              </w:rPr>
            </w:r>
          </w:p>
          <w:p w:rsidR="00000000" w:rsidDel="00000000" w:rsidP="00000000" w:rsidRDefault="00000000" w:rsidRPr="00000000" w14:paraId="00000071">
            <w:pPr>
              <w:numPr>
                <w:ilvl w:val="0"/>
                <w:numId w:val="2"/>
              </w:numPr>
              <w:tabs>
                <w:tab w:val="left" w:pos="606"/>
              </w:tabs>
              <w:ind w:left="720" w:right="306" w:hanging="360"/>
              <w:rPr>
                <w:rFonts w:ascii="Arial" w:cs="Arial" w:eastAsia="Arial" w:hAnsi="Arial"/>
                <w:u w:val="none"/>
              </w:rPr>
            </w:pPr>
            <w:r w:rsidDel="00000000" w:rsidR="00000000" w:rsidRPr="00000000">
              <w:rPr>
                <w:rFonts w:ascii="Arial" w:cs="Arial" w:eastAsia="Arial" w:hAnsi="Arial"/>
                <w:rtl w:val="0"/>
              </w:rPr>
              <w:t xml:space="preserve">Continue to Promote use of grants from the Marin Wildfire Authority and other Marin agencies to fund home hardening projects.</w:t>
            </w:r>
            <w:r w:rsidDel="00000000" w:rsidR="00000000" w:rsidRPr="00000000">
              <w:rPr>
                <w:rtl w:val="0"/>
              </w:rPr>
            </w:r>
          </w:p>
          <w:p w:rsidR="00000000" w:rsidDel="00000000" w:rsidP="00000000" w:rsidRDefault="00000000" w:rsidRPr="00000000" w14:paraId="00000072">
            <w:pPr>
              <w:tabs>
                <w:tab w:val="left" w:pos="606"/>
              </w:tabs>
              <w:spacing w:before="1" w:lineRule="auto"/>
              <w:ind w:left="2160" w:right="450" w:firstLine="0"/>
              <w:rPr>
                <w:rFonts w:ascii="Arial" w:cs="Arial" w:eastAsia="Arial" w:hAnsi="Arial"/>
              </w:rPr>
            </w:pPr>
            <w:r w:rsidDel="00000000" w:rsidR="00000000" w:rsidRPr="00000000">
              <w:rPr>
                <w:rtl w:val="0"/>
              </w:rPr>
            </w:r>
          </w:p>
        </w:tc>
      </w:tr>
      <w:tr>
        <w:trPr>
          <w:cantSplit w:val="0"/>
          <w:trHeight w:val="1177" w:hRule="atLeast"/>
          <w:tblHeader w:val="0"/>
        </w:trPr>
        <w:tc>
          <w:tcPr>
            <w:vMerge w:val="continue"/>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Fuel Reduction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1"/>
              <w:numPr>
                <w:ilvl w:val="0"/>
                <w:numId w:val="10"/>
              </w:numPr>
              <w:spacing w:after="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Continue to Promote the Marin Wildfire Prevention Authority  bi-annual curbside chipper pickup in our neighborhood to reduce flammable vegetation</w:t>
            </w:r>
            <w:r w:rsidDel="00000000" w:rsidR="00000000" w:rsidRPr="00000000">
              <w:rPr>
                <w:rtl w:val="0"/>
              </w:rPr>
            </w:r>
          </w:p>
          <w:p w:rsidR="00000000" w:rsidDel="00000000" w:rsidP="00000000" w:rsidRDefault="00000000" w:rsidRPr="00000000" w14:paraId="00000076">
            <w:pPr>
              <w:numPr>
                <w:ilvl w:val="0"/>
                <w:numId w:val="10"/>
              </w:numPr>
              <w:tabs>
                <w:tab w:val="left" w:pos="606"/>
              </w:tabs>
              <w:spacing w:before="0" w:lineRule="auto"/>
              <w:ind w:left="720" w:right="162" w:hanging="360"/>
              <w:rPr>
                <w:rFonts w:ascii="Arial" w:cs="Arial" w:eastAsia="Arial" w:hAnsi="Arial"/>
                <w:u w:val="none"/>
              </w:rPr>
            </w:pPr>
            <w:r w:rsidDel="00000000" w:rsidR="00000000" w:rsidRPr="00000000">
              <w:rPr>
                <w:rFonts w:ascii="Arial" w:cs="Arial" w:eastAsia="Arial" w:hAnsi="Arial"/>
                <w:rtl w:val="0"/>
              </w:rPr>
              <w:t xml:space="preserve">Continue to Promote use of green bins to remove accumulated fuels through regular maintenance</w:t>
            </w:r>
            <w:r w:rsidDel="00000000" w:rsidR="00000000" w:rsidRPr="00000000">
              <w:rPr>
                <w:rtl w:val="0"/>
              </w:rPr>
            </w:r>
          </w:p>
          <w:p w:rsidR="00000000" w:rsidDel="00000000" w:rsidP="00000000" w:rsidRDefault="00000000" w:rsidRPr="00000000" w14:paraId="00000077">
            <w:pPr>
              <w:numPr>
                <w:ilvl w:val="0"/>
                <w:numId w:val="10"/>
              </w:numPr>
              <w:tabs>
                <w:tab w:val="left" w:pos="606"/>
              </w:tabs>
              <w:ind w:left="720" w:right="306" w:hanging="360"/>
              <w:rPr>
                <w:rFonts w:ascii="Arial" w:cs="Arial" w:eastAsia="Arial" w:hAnsi="Arial"/>
              </w:rPr>
            </w:pPr>
            <w:r w:rsidDel="00000000" w:rsidR="00000000" w:rsidRPr="00000000">
              <w:rPr>
                <w:rFonts w:ascii="Arial" w:cs="Arial" w:eastAsia="Arial" w:hAnsi="Arial"/>
                <w:rtl w:val="0"/>
              </w:rPr>
              <w:t xml:space="preserve">Continue to Promote use of grants from the Marin Wildfire Authority and other Marin agencies to fund vegetation removal projects</w:t>
            </w:r>
          </w:p>
          <w:p w:rsidR="00000000" w:rsidDel="00000000" w:rsidP="00000000" w:rsidRDefault="00000000" w:rsidRPr="00000000" w14:paraId="00000078">
            <w:pPr>
              <w:tabs>
                <w:tab w:val="left" w:pos="606"/>
              </w:tabs>
              <w:spacing w:before="1" w:lineRule="auto"/>
              <w:ind w:left="1440" w:right="162" w:firstLine="0"/>
              <w:rPr>
                <w:rFonts w:ascii="Arial" w:cs="Arial" w:eastAsia="Arial" w:hAnsi="Arial"/>
              </w:rPr>
            </w:pPr>
            <w:r w:rsidDel="00000000" w:rsidR="00000000" w:rsidRPr="00000000">
              <w:rPr>
                <w:rtl w:val="0"/>
              </w:rPr>
            </w:r>
          </w:p>
        </w:tc>
      </w:tr>
      <w:tr>
        <w:trPr>
          <w:cantSplit w:val="0"/>
          <w:trHeight w:val="1969" w:hRule="atLeast"/>
          <w:tblHeader w:val="0"/>
        </w:trPr>
        <w:tc>
          <w:tcPr>
            <w:vMerge w:val="continue"/>
            <w:tcBorders>
              <w:top w:color="6fac46" w:space="0" w:sz="4" w:val="single"/>
              <w:left w:color="6fac46" w:space="0" w:sz="4" w:val="single"/>
              <w:bottom w:color="6fac46" w:space="0" w:sz="4" w:val="single"/>
              <w:right w:color="000000" w:space="0" w:sz="4" w:val="single"/>
            </w:tcBorders>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tcBorders>
              <w:top w:color="6fac46" w:space="0" w:sz="4" w:val="single"/>
              <w:left w:color="000000" w:space="0" w:sz="4" w:val="single"/>
              <w:bottom w:color="6fac46" w:space="0" w:sz="4" w:val="single"/>
              <w:right w:color="000000" w:space="0" w:sz="4" w:val="single"/>
            </w:tcBorders>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5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Evacuation Planning &amp; Wildfire Preparedness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Continue to Hold an evacuation drill based on one of the scaled approaches provided by Fire Safe Marin.</w:t>
            </w: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sectPr>
      <w:type w:val="nextPage"/>
      <w:pgSz w:h="15840" w:w="12240" w:orient="portrait"/>
      <w:pgMar w:bottom="920" w:top="3780" w:left="620" w:right="600" w:header="1243"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25400</wp:posOffset>
              </wp:positionH>
              <wp:positionV relativeFrom="paragraph">
                <wp:posOffset>9436100</wp:posOffset>
              </wp:positionV>
              <wp:extent cx="556895" cy="171450"/>
              <wp:effectExtent b="0" l="0" r="0" t="0"/>
              <wp:wrapNone/>
              <wp:docPr id="20" name=""/>
              <a:graphic>
                <a:graphicData uri="http://schemas.microsoft.com/office/word/2010/wordprocessingShape">
                  <wps:wsp>
                    <wps:cNvSpPr/>
                    <wps:cNvPr id="7" name="Shape 7"/>
                    <wps:spPr>
                      <a:xfrm>
                        <a:off x="5077078" y="3703800"/>
                        <a:ext cx="537845" cy="152400"/>
                      </a:xfrm>
                      <a:prstGeom prst="rect">
                        <a:avLst/>
                      </a:prstGeom>
                      <a:noFill/>
                      <a:ln>
                        <a:noFill/>
                      </a:ln>
                    </wps:spPr>
                    <wps:txbx>
                      <w:txbxContent>
                        <w:p w:rsidR="00000000" w:rsidDel="00000000" w:rsidP="00000000" w:rsidRDefault="00000000" w:rsidRPr="00000000">
                          <w:pPr>
                            <w:spacing w:after="0" w:before="0" w:line="222.9999876022339"/>
                            <w:ind w:left="20" w:right="0" w:firstLine="4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May 2022</w:t>
                          </w:r>
                        </w:p>
                        <w:p w:rsidR="00000000" w:rsidDel="00000000" w:rsidP="00000000" w:rsidRDefault="00000000" w:rsidRPr="00000000">
                          <w:pPr>
                            <w:spacing w:after="0" w:before="0" w:line="222.9999876022339"/>
                            <w:ind w:left="20" w:right="0" w:firstLine="4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2021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25400</wp:posOffset>
              </wp:positionH>
              <wp:positionV relativeFrom="paragraph">
                <wp:posOffset>9436100</wp:posOffset>
              </wp:positionV>
              <wp:extent cx="556895" cy="171450"/>
              <wp:effectExtent b="0" l="0" r="0" t="0"/>
              <wp:wrapNone/>
              <wp:docPr id="2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56895" cy="1714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6311900</wp:posOffset>
              </wp:positionH>
              <wp:positionV relativeFrom="paragraph">
                <wp:posOffset>9436100</wp:posOffset>
              </wp:positionV>
              <wp:extent cx="613410" cy="171450"/>
              <wp:effectExtent b="0" l="0" r="0" t="0"/>
              <wp:wrapNone/>
              <wp:docPr id="21" name=""/>
              <a:graphic>
                <a:graphicData uri="http://schemas.microsoft.com/office/word/2010/wordprocessingShape">
                  <wps:wsp>
                    <wps:cNvSpPr/>
                    <wps:cNvPr id="8" name="Shape 8"/>
                    <wps:spPr>
                      <a:xfrm>
                        <a:off x="5048820" y="3703800"/>
                        <a:ext cx="594360" cy="152400"/>
                      </a:xfrm>
                      <a:prstGeom prst="rect">
                        <a:avLst/>
                      </a:prstGeom>
                      <a:noFill/>
                      <a:ln>
                        <a:noFill/>
                      </a:ln>
                    </wps:spPr>
                    <wps:txbx>
                      <w:txbxContent>
                        <w:p w:rsidR="00000000" w:rsidDel="00000000" w:rsidP="00000000" w:rsidRDefault="00000000" w:rsidRPr="00000000">
                          <w:pPr>
                            <w:spacing w:after="0" w:before="0" w:line="222.9999876022339"/>
                            <w:ind w:left="20" w:right="0" w:firstLine="4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Page </w:t>
                          </w:r>
                          <w:r w:rsidDel="00000000" w:rsidR="00000000" w:rsidRPr="00000000">
                            <w:rPr>
                              <w:rFonts w:ascii="Calibri" w:cs="Calibri" w:eastAsia="Calibri" w:hAnsi="Calibri"/>
                              <w:b w:val="1"/>
                              <w:i w:val="0"/>
                              <w:smallCaps w:val="0"/>
                              <w:strike w:val="0"/>
                              <w:color w:val="000000"/>
                              <w:sz w:val="20"/>
                              <w:vertAlign w:val="baseline"/>
                            </w:rPr>
                            <w:t xml:space="preserve"> PAGE 1 </w:t>
                          </w:r>
                          <w:r w:rsidDel="00000000" w:rsidR="00000000" w:rsidRPr="00000000">
                            <w:rPr>
                              <w:rFonts w:ascii="Calibri" w:cs="Calibri" w:eastAsia="Calibri" w:hAnsi="Calibri"/>
                              <w:b w:val="0"/>
                              <w:i w:val="0"/>
                              <w:smallCaps w:val="0"/>
                              <w:strike w:val="0"/>
                              <w:color w:val="000000"/>
                              <w:sz w:val="20"/>
                              <w:vertAlign w:val="baseline"/>
                            </w:rPr>
                            <w:t xml:space="preserve">of </w:t>
                          </w:r>
                          <w:r w:rsidDel="00000000" w:rsidR="00000000" w:rsidRPr="00000000">
                            <w:rPr>
                              <w:rFonts w:ascii="Calibri" w:cs="Calibri" w:eastAsia="Calibri" w:hAnsi="Calibri"/>
                              <w:b w:val="1"/>
                              <w:i w:val="0"/>
                              <w:smallCaps w:val="0"/>
                              <w:strike w:val="0"/>
                              <w:color w:val="000000"/>
                              <w:sz w:val="20"/>
                              <w:vertAlign w:val="baseline"/>
                            </w:rPr>
                            <w:t xml:space="preserve">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6311900</wp:posOffset>
              </wp:positionH>
              <wp:positionV relativeFrom="paragraph">
                <wp:posOffset>9436100</wp:posOffset>
              </wp:positionV>
              <wp:extent cx="613410" cy="171450"/>
              <wp:effectExtent b="0" l="0" r="0" t="0"/>
              <wp:wrapNone/>
              <wp:docPr id="2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13410" cy="1714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drawing>
        <wp:anchor allowOverlap="1" behindDoc="1" distB="0" distT="0" distL="0" distR="0" hidden="0" layoutInCell="1" locked="0" relativeHeight="0" simplePos="0">
          <wp:simplePos x="0" y="0"/>
          <wp:positionH relativeFrom="page">
            <wp:posOffset>2387601</wp:posOffset>
          </wp:positionH>
          <wp:positionV relativeFrom="page">
            <wp:posOffset>1154303</wp:posOffset>
          </wp:positionV>
          <wp:extent cx="4491104" cy="814896"/>
          <wp:effectExtent b="0" l="0" r="0" t="0"/>
          <wp:wrapNone/>
          <wp:docPr id="2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91104" cy="814896"/>
                  </a:xfrm>
                  <a:prstGeom prst="rect"/>
                  <a:ln/>
                </pic:spPr>
              </pic:pic>
            </a:graphicData>
          </a:graphic>
        </wp:anchor>
      </w:drawing>
    </w:r>
    <w:r w:rsidDel="00000000" w:rsidR="00000000" w:rsidRPr="00000000">
      <w:rPr/>
      <w:drawing>
        <wp:inline distB="0" distT="0" distL="0" distR="0">
          <wp:extent cx="1113566" cy="1439682"/>
          <wp:effectExtent b="0" l="0" r="0" t="0"/>
          <wp:docPr id="2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13566" cy="143968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color w:val="3c78d8"/>
      </w:rPr>
    </w:pPr>
    <w:r w:rsidDel="00000000" w:rsidR="00000000" w:rsidRPr="00000000">
      <w:rPr>
        <w:color w:val="3c78d8"/>
        <w:u w:val="single"/>
        <w:rtl w:val="0"/>
      </w:rPr>
      <w:t xml:space="preserve">City Name</w:t>
    </w:r>
    <w:r w:rsidDel="00000000" w:rsidR="00000000" w:rsidRPr="00000000">
      <w:rPr>
        <w:color w:val="3c78d8"/>
        <w:rtl w:val="0"/>
      </w:rPr>
      <w:t xml:space="preserve">, California</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color w:val="3c78d8"/>
        <w:rtl w:val="0"/>
      </w:rPr>
      <w:t xml:space="preserve">Community Wildfire Action Plan 2023-2025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457200</wp:posOffset>
          </wp:positionH>
          <wp:positionV relativeFrom="page">
            <wp:posOffset>1466088</wp:posOffset>
          </wp:positionV>
          <wp:extent cx="4819015" cy="874395"/>
          <wp:effectExtent b="0" l="0" r="0" t="0"/>
          <wp:wrapNone/>
          <wp:docPr id="2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819015" cy="87439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34"/>
    <w:qFormat w:val="1"/>
  </w:style>
  <w:style w:type="paragraph" w:styleId="TableParagraph" w:customStyle="1">
    <w:name w:val="Table Paragraph"/>
    <w:basedOn w:val="Normal"/>
    <w:uiPriority w:val="1"/>
    <w:qFormat w:val="1"/>
    <w:pPr>
      <w:ind w:left="603" w:hanging="360"/>
    </w:pPr>
  </w:style>
  <w:style w:type="paragraph" w:styleId="Header">
    <w:name w:val="header"/>
    <w:basedOn w:val="Normal"/>
    <w:link w:val="HeaderChar"/>
    <w:uiPriority w:val="99"/>
    <w:unhideWhenUsed w:val="1"/>
    <w:rsid w:val="00391FCA"/>
    <w:pPr>
      <w:tabs>
        <w:tab w:val="center" w:pos="4680"/>
        <w:tab w:val="right" w:pos="9360"/>
      </w:tabs>
    </w:pPr>
  </w:style>
  <w:style w:type="character" w:styleId="HeaderChar" w:customStyle="1">
    <w:name w:val="Header Char"/>
    <w:basedOn w:val="DefaultParagraphFont"/>
    <w:link w:val="Header"/>
    <w:uiPriority w:val="99"/>
    <w:rsid w:val="00391FCA"/>
    <w:rPr>
      <w:rFonts w:ascii="Calibri" w:cs="Calibri" w:eastAsia="Calibri" w:hAnsi="Calibri"/>
    </w:rPr>
  </w:style>
  <w:style w:type="paragraph" w:styleId="Footer">
    <w:name w:val="footer"/>
    <w:basedOn w:val="Normal"/>
    <w:link w:val="FooterChar"/>
    <w:uiPriority w:val="99"/>
    <w:unhideWhenUsed w:val="1"/>
    <w:rsid w:val="00391FCA"/>
    <w:pPr>
      <w:tabs>
        <w:tab w:val="center" w:pos="4680"/>
        <w:tab w:val="right" w:pos="9360"/>
      </w:tabs>
    </w:pPr>
  </w:style>
  <w:style w:type="character" w:styleId="FooterChar" w:customStyle="1">
    <w:name w:val="Footer Char"/>
    <w:basedOn w:val="DefaultParagraphFont"/>
    <w:link w:val="Footer"/>
    <w:uiPriority w:val="99"/>
    <w:rsid w:val="00391FCA"/>
    <w:rPr>
      <w:rFonts w:ascii="Calibri" w:cs="Calibri" w:eastAsia="Calibri" w:hAnsi="Calibri"/>
    </w:rPr>
  </w:style>
  <w:style w:type="character" w:styleId="Hyperlink">
    <w:name w:val="Hyperlink"/>
    <w:basedOn w:val="DefaultParagraphFont"/>
    <w:uiPriority w:val="99"/>
    <w:unhideWhenUsed w:val="1"/>
    <w:rsid w:val="001005B1"/>
    <w:rPr>
      <w:color w:val="0000ff" w:themeColor="hyperlink"/>
      <w:u w:val="single"/>
    </w:rPr>
  </w:style>
  <w:style w:type="character" w:styleId="FollowedHyperlink">
    <w:name w:val="FollowedHyperlink"/>
    <w:basedOn w:val="DefaultParagraphFont"/>
    <w:uiPriority w:val="99"/>
    <w:semiHidden w:val="1"/>
    <w:unhideWhenUsed w:val="1"/>
    <w:rsid w:val="00852F28"/>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adyforwildfire.org/?msclkid=250d5e8cc01c11ecaf542ff4f49f3e4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fpa.org/-/media/Files/Firewise/Get-started/FirewiseTimeExpenseInvestmentExamples.ashx/" TargetMode="External"/><Relationship Id="rId8" Type="http://schemas.openxmlformats.org/officeDocument/2006/relationships/hyperlink" Target="https://www.fire.ca.gov/programs/communications/defensible-space-prc-4291/?msclkid=60bae8b7c01b11ecb72096aeb8e2dbe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rUJxHvqHpGC6erbQHs4UN6D3A==">AMUW2mXIgZsPJsxkJBziDq1bLhA1TraQFFWgD25hvy7+jHLBAtktiA99DuQqzHkHYcmyzYjFGqimNmfWhKqaselR3E4rlRj12rcynbddwn6btO/0keyK4Qt7Ez9UYlsHn640HTebif73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2022-05-03T23:39:00Z</dcterms:created>
  <dc:creator>Ryan Tompkins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2016</vt:lpwstr>
  </property>
  <property fmtid="{D5CDD505-2E9C-101B-9397-08002B2CF9AE}" pid="4" name="LastSaved">
    <vt:filetime>2021-06-08T00:00:00Z</vt:filetime>
  </property>
  <property fmtid="{D5CDD505-2E9C-101B-9397-08002B2CF9AE}" pid="5" name="ContentTypeId">
    <vt:lpwstr>0x01010042A271D0A4E9634CAE7EBC264C16D4CF</vt:lpwstr>
  </property>
</Properties>
</file>